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4E327D">
        <w:rPr>
          <w:rFonts w:ascii="GHEA Grapalat" w:hAnsi="GHEA Grapalat"/>
          <w:bCs/>
          <w:sz w:val="20"/>
          <w:lang w:val="hy-AM"/>
        </w:rPr>
        <w:t>65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1B3020" w:rsidRDefault="001B3020" w:rsidP="001B3020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1B3020" w:rsidRDefault="001B3020" w:rsidP="001B3020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171368" w:rsidRPr="00092734" w:rsidRDefault="00171368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</w:t>
            </w:r>
            <w:r w:rsidR="004E327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92734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bookmarkStart w:id="0" w:name="_GoBack"/>
            <w:bookmarkEnd w:id="0"/>
            <w:r w:rsidR="00455718" w:rsidRPr="003E1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</w:t>
            </w:r>
            <w:r w:rsidR="00FD186B" w:rsidRPr="003E1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3E1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3E131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տեղական ինքնակառավա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րման մասին», «Համայնքային ծառայության մասին», «Նորմատիվ իրավական </w:t>
            </w:r>
            <w:r w:rsidRPr="00D62AFA">
              <w:rPr>
                <w:rFonts w:ascii="GHEA Grapalat" w:hAnsi="GHEA Grapalat"/>
                <w:sz w:val="22"/>
                <w:szCs w:val="22"/>
                <w:lang w:val="hy-AM"/>
              </w:rPr>
              <w:t>ակտերի մասին», «Վարչարարության հիմունքների և վարչական վարույթի մասին», «Քաղաքաշինության մասին</w:t>
            </w:r>
            <w:r w:rsidRPr="00D62AFA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D62AFA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D62AFA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D62AFA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D62AF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62AFA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 բխող ՀՀ կառավարության որոշումների, աշխատակազմի և վարչության կանոնադրության և իր լիազորությունների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080" w:rsidRDefault="002D7080" w:rsidP="000B1FF2">
      <w:r>
        <w:separator/>
      </w:r>
    </w:p>
  </w:endnote>
  <w:endnote w:type="continuationSeparator" w:id="0">
    <w:p w:rsidR="002D7080" w:rsidRDefault="002D708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080" w:rsidRDefault="002D7080" w:rsidP="000B1FF2">
      <w:r>
        <w:separator/>
      </w:r>
    </w:p>
  </w:footnote>
  <w:footnote w:type="continuationSeparator" w:id="0">
    <w:p w:rsidR="002D7080" w:rsidRDefault="002D708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020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183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D7080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1319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327D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2978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2AFA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72E9E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B95BD1-E368-463D-8516-56E6A116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2024-03-07T11:18:00Z</dcterms:created>
  <dcterms:modified xsi:type="dcterms:W3CDTF">2024-03-07T11:18:00Z</dcterms:modified>
</cp:coreProperties>
</file>